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A0" w:rsidRPr="008C3B03" w:rsidRDefault="008C3B03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8C3B03">
        <w:rPr>
          <w:rFonts w:ascii="PT Astra Serif" w:hAnsi="PT Astra Serif" w:cs="Times New Roman"/>
          <w:b/>
          <w:sz w:val="32"/>
          <w:szCs w:val="28"/>
        </w:rPr>
        <w:t>Больше трети расходов областного бюджета направили на поддержку муниципалитетов</w:t>
      </w:r>
    </w:p>
    <w:p w:rsidR="003742AC" w:rsidRPr="008C3B03" w:rsidRDefault="003742AC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8C3B03" w:rsidRPr="008C3B03" w:rsidRDefault="008C3B03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8C3B03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78979C9" wp14:editId="6011E085">
            <wp:extent cx="4667693" cy="311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11" cy="312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В региональном министерстве финансов прошло заседание общественного совета. Участники обсудили предварительные итоги исполнения областного бюджета за 2023 год и задачи на 2024 год. Как отметил заместитель министра финансов области </w:t>
      </w:r>
      <w:r w:rsidRPr="008C3B03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>Игорь Меркулов</w:t>
      </w: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, исполнение бюджета в 2023 году осуществлялось в условиях опережающей динамики основных бюджетообразующих показателей. Год закрыт с ростом налоговых и неналоговых доходов на 16,2%.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«В целом за четыре последних года, несмотря на весьма сложные условия исполнения бюджета, прирост бюджетных доходов составил 44,2 млрд рублей, или порядка 65%. Положительная динамика сложилась по всем основным доходным источникам»</w:t>
      </w: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, – рассказал представитель финансового ведомства.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В ходе исполнения областного бюджета приняты все меры по своевременному финансированию обязательств социально значимого характера, в том числе по оплате труда работников бюджетной сферы, пособиям и выплатам отдельным категориям граждан и семьям с детьми, лекарственному обеспечению, бесперебойному функционированию системы здравоохранения и иным важным статьям. Изысканы средства на повышение целевых ориентиров по заработной плате работников бюджетной сферы в рамках «майских» указов 2012 года. В 2023 году они поднимались дважды и выросли на 14%. По сравнению с предшествующим годом расходы увеличились по данным категориям на 3,9 млрд рублей, а в целом в бюджетной сфере – на 5,7 млрд рублей.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Существенная поддержка оказана муниципальным образованиям области. Суммарно местным бюджетам перечислено более трети расходов областного бюджета - 66,1 млрд рублей. В течение года объем трансфертов увеличен в целом на 28,1 млрд рублей. Объем дополнительной помощи составил 1,4 млрд рублей.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lastRenderedPageBreak/>
        <w:t>«За счет собственных средств бюджета своевременно погашена часть регионального долга по государственным ценным бумагам и бюджетным кредитам из федерального бюджета в общей сумме 3 млрд рублей»</w:t>
      </w: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, – подчеркнул докладчик. 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Экономия по расходам на обслуживание государственного долга области в 2023 году относительно первоначально утвержденных бюджетных назначений превысила 1 млрд рублей. Высвободившиеся средства направлены на выполнение социально значимых обязательств перед жителями региона.</w:t>
      </w:r>
    </w:p>
    <w:p w:rsidR="008C3B03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Также участники обсудили планы работы на будущее. В рамках Послания Президента России перед бюджетной системой поставлены новые масштабные задачи по поддержке многодетных семей, семей участников специальной военной операции, ремонту и модернизации объектов здравоохранения, образования, развитию предпринимательства и другие.</w:t>
      </w:r>
    </w:p>
    <w:p w:rsidR="00033244" w:rsidRPr="008C3B03" w:rsidRDefault="008C3B03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Ожидается списание двух третей задолженности регионов по бюджетным кредитам. К практической реализации этих мер приступят незамедлительно после доведения соответствующи</w:t>
      </w:r>
      <w:bookmarkStart w:id="0" w:name="_GoBack"/>
      <w:bookmarkEnd w:id="0"/>
      <w:r w:rsidRPr="008C3B03">
        <w:rPr>
          <w:rFonts w:ascii="PT Astra Serif" w:hAnsi="PT Astra Serif" w:cs="Times New Roman"/>
          <w:noProof/>
          <w:sz w:val="28"/>
          <w:szCs w:val="28"/>
          <w:lang w:eastAsia="ru-RU"/>
        </w:rPr>
        <w:t>х федеральных нормативных актов.</w:t>
      </w:r>
    </w:p>
    <w:sectPr w:rsidR="00033244" w:rsidRPr="008C3B03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4723A0"/>
    <w:rsid w:val="00525933"/>
    <w:rsid w:val="00581F1A"/>
    <w:rsid w:val="00585613"/>
    <w:rsid w:val="0070777E"/>
    <w:rsid w:val="0073476B"/>
    <w:rsid w:val="00744E55"/>
    <w:rsid w:val="007E098A"/>
    <w:rsid w:val="007E3B9C"/>
    <w:rsid w:val="008C3B03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8</cp:revision>
  <cp:lastPrinted>2021-09-24T14:37:00Z</cp:lastPrinted>
  <dcterms:created xsi:type="dcterms:W3CDTF">2022-03-18T07:10:00Z</dcterms:created>
  <dcterms:modified xsi:type="dcterms:W3CDTF">2024-03-25T08:25:00Z</dcterms:modified>
</cp:coreProperties>
</file>